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C4017" w14:textId="77777777" w:rsidR="0096376C" w:rsidRDefault="00160B8B">
      <w:pPr>
        <w:pStyle w:val="Heading1"/>
        <w:rPr>
          <w:rFonts w:ascii="Calibri" w:eastAsia="Calibri" w:hAnsi="Calibri" w:cs="Calibri"/>
          <w:sz w:val="24"/>
          <w:szCs w:val="24"/>
          <w:shd w:val="clear" w:color="auto" w:fill="FFFFFF"/>
        </w:rPr>
      </w:pPr>
      <w:r>
        <w:rPr>
          <w:noProof/>
        </w:rPr>
        <mc:AlternateContent>
          <mc:Choice Requires="wpg">
            <w:drawing>
              <wp:anchor distT="57150" distB="57150" distL="57150" distR="57150" simplePos="0" relativeHeight="251664384" behindDoc="0" locked="0" layoutInCell="1" allowOverlap="1" wp14:anchorId="00660E8D" wp14:editId="6648EBAC">
                <wp:simplePos x="0" y="0"/>
                <wp:positionH relativeFrom="column">
                  <wp:posOffset>2218054</wp:posOffset>
                </wp:positionH>
                <wp:positionV relativeFrom="line">
                  <wp:posOffset>-509904</wp:posOffset>
                </wp:positionV>
                <wp:extent cx="1083945" cy="956945"/>
                <wp:effectExtent l="0" t="0" r="0" b="0"/>
                <wp:wrapSquare wrapText="bothSides" distT="57150" distB="57150" distL="57150" distR="57150"/>
                <wp:docPr id="1073741827" name="officeArt object"/>
                <wp:cNvGraphicFramePr/>
                <a:graphic xmlns:a="http://schemas.openxmlformats.org/drawingml/2006/main">
                  <a:graphicData uri="http://schemas.microsoft.com/office/word/2010/wordprocessingGroup">
                    <wpg:wgp>
                      <wpg:cNvGrpSpPr/>
                      <wpg:grpSpPr>
                        <a:xfrm>
                          <a:off x="0" y="0"/>
                          <a:ext cx="1083945" cy="956945"/>
                          <a:chOff x="0" y="0"/>
                          <a:chExt cx="1083944" cy="956944"/>
                        </a:xfrm>
                      </wpg:grpSpPr>
                      <wps:wsp>
                        <wps:cNvPr id="1073741825" name="Shape 1073741825"/>
                        <wps:cNvSpPr/>
                        <wps:spPr>
                          <a:xfrm>
                            <a:off x="0" y="0"/>
                            <a:ext cx="1083945" cy="956945"/>
                          </a:xfrm>
                          <a:prstGeom prst="rect">
                            <a:avLst/>
                          </a:prstGeom>
                          <a:solidFill>
                            <a:srgbClr val="FFFFFF"/>
                          </a:solidFill>
                          <a:ln w="12700" cap="flat">
                            <a:noFill/>
                            <a:miter lim="400000"/>
                          </a:ln>
                          <a:effectLst/>
                        </wps:spPr>
                        <wps:bodyPr/>
                      </wps:wsp>
                      <pic:pic xmlns:pic="http://schemas.openxmlformats.org/drawingml/2006/picture">
                        <pic:nvPicPr>
                          <pic:cNvPr id="1073741826" name="image.jpeg"/>
                          <pic:cNvPicPr>
                            <a:picLocks noChangeAspect="1"/>
                          </pic:cNvPicPr>
                        </pic:nvPicPr>
                        <pic:blipFill>
                          <a:blip r:embed="rId9"/>
                          <a:stretch>
                            <a:fillRect/>
                          </a:stretch>
                        </pic:blipFill>
                        <pic:spPr>
                          <a:xfrm>
                            <a:off x="0" y="0"/>
                            <a:ext cx="1083945" cy="956945"/>
                          </a:xfrm>
                          <a:prstGeom prst="rect">
                            <a:avLst/>
                          </a:prstGeom>
                          <a:ln w="12700" cap="flat">
                            <a:noFill/>
                            <a:miter lim="400000"/>
                          </a:ln>
                          <a:effectLst/>
                        </pic:spPr>
                      </pic:pic>
                    </wpg:wgp>
                  </a:graphicData>
                </a:graphic>
              </wp:anchor>
            </w:drawing>
          </mc:Choice>
          <mc:Fallback>
            <w:pict>
              <v:group id="_x0000_s1026" style="visibility:visible;position:absolute;margin-left:174.6pt;margin-top:-40.1pt;width:85.3pt;height:75.3pt;z-index:251664384;mso-position-horizontal:absolute;mso-position-horizontal-relative:text;mso-position-vertical:absolute;mso-position-vertical-relative:line;mso-wrap-distance-left:4.5pt;mso-wrap-distance-top:4.5pt;mso-wrap-distance-right:4.5pt;mso-wrap-distance-bottom:4.5pt;" coordorigin="0,0" coordsize="1083945,956945">
                <w10:wrap type="square" side="bothSides" anchorx="text"/>
                <v:rect id="_x0000_s1027" style="position:absolute;left:0;top:0;width:1083945;height:95694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1083945;height:956945;">
                  <v:imagedata r:id="rId10" o:title="image.jpeg"/>
                </v:shape>
              </v:group>
            </w:pict>
          </mc:Fallback>
        </mc:AlternateContent>
      </w:r>
    </w:p>
    <w:p w14:paraId="234396B0" w14:textId="77777777" w:rsidR="0096376C" w:rsidRDefault="0096376C"/>
    <w:p w14:paraId="72F899BA" w14:textId="77777777" w:rsidR="0096376C" w:rsidRDefault="0096376C">
      <w:pPr>
        <w:jc w:val="both"/>
        <w:rPr>
          <w:rFonts w:ascii="Arial" w:eastAsia="Arial" w:hAnsi="Arial" w:cs="Arial"/>
          <w:sz w:val="40"/>
          <w:szCs w:val="40"/>
        </w:rPr>
      </w:pPr>
    </w:p>
    <w:p w14:paraId="462E72D3" w14:textId="2C1AA8E0" w:rsidR="0096376C" w:rsidRDefault="001B057C">
      <w:pPr>
        <w:rPr>
          <w:rFonts w:ascii="Arial" w:eastAsia="Arial" w:hAnsi="Arial" w:cs="Arial"/>
        </w:rPr>
      </w:pPr>
      <w:bookmarkStart w:id="0" w:name="OLE_LINK1"/>
      <w:r w:rsidRPr="001B057C">
        <w:rPr>
          <w:rFonts w:ascii="Arial" w:hAnsi="Arial" w:cs="Arial"/>
          <w:b/>
          <w:bCs/>
          <w:sz w:val="40"/>
          <w:szCs w:val="40"/>
        </w:rPr>
        <w:t>Christian Schumann</w:t>
      </w:r>
      <w:r w:rsidR="00160B8B" w:rsidRPr="001B057C">
        <w:rPr>
          <w:rFonts w:ascii="Arial" w:eastAsia="Arial" w:hAnsi="Arial" w:cs="Arial"/>
          <w:sz w:val="40"/>
          <w:szCs w:val="40"/>
        </w:rPr>
        <w:br/>
      </w:r>
      <w:r>
        <w:rPr>
          <w:rFonts w:ascii="Arial" w:hAnsi="Arial"/>
          <w:sz w:val="34"/>
          <w:szCs w:val="34"/>
        </w:rPr>
        <w:t>Conductor</w:t>
      </w:r>
    </w:p>
    <w:bookmarkEnd w:id="0"/>
    <w:p w14:paraId="7740F0AF" w14:textId="77777777" w:rsidR="001B057C" w:rsidRPr="001B057C" w:rsidRDefault="001B057C" w:rsidP="001B057C">
      <w:pPr>
        <w:rPr>
          <w:rFonts w:ascii="Arial" w:hAnsi="Arial" w:cs="Arial"/>
          <w:lang w:val="de-DE"/>
        </w:rPr>
      </w:pPr>
      <w:r w:rsidRPr="001B057C">
        <w:rPr>
          <w:rFonts w:ascii="Arial" w:hAnsi="Arial" w:cs="Arial"/>
        </w:rPr>
        <w:t>A truly creative conductor, programmer and composer, Christian Schumann has rapidly established a reputation as both an opera and symphonic conductor, developing </w:t>
      </w:r>
      <w:r w:rsidRPr="001B057C">
        <w:rPr>
          <w:rFonts w:ascii="Arial" w:hAnsi="Arial" w:cs="Arial"/>
          <w:lang w:val="de-DE"/>
        </w:rPr>
        <w:t>concepts</w:t>
      </w:r>
      <w:r w:rsidRPr="001B057C">
        <w:rPr>
          <w:rFonts w:ascii="Arial" w:hAnsi="Arial" w:cs="Arial"/>
        </w:rPr>
        <w:t> that cross genres and disciplines,</w:t>
      </w:r>
      <w:r w:rsidRPr="001B057C">
        <w:rPr>
          <w:rFonts w:ascii="Arial" w:hAnsi="Arial" w:cs="Arial"/>
          <w:lang w:val="de-DE"/>
        </w:rPr>
        <w:t> challenging both the orchestra, as well as the audience.</w:t>
      </w:r>
    </w:p>
    <w:p w14:paraId="115E4F2E" w14:textId="77777777" w:rsidR="001B057C" w:rsidRPr="001B057C" w:rsidRDefault="001B057C" w:rsidP="001B057C">
      <w:pPr>
        <w:rPr>
          <w:rFonts w:ascii="Arial" w:hAnsi="Arial" w:cs="Arial"/>
          <w:lang w:val="de-DE"/>
        </w:rPr>
      </w:pPr>
      <w:r w:rsidRPr="001B057C">
        <w:rPr>
          <w:rFonts w:ascii="Arial" w:hAnsi="Arial" w:cs="Arial"/>
        </w:rPr>
        <w:t>The 2024/25 season sees Christian Schumann perform </w:t>
      </w:r>
      <w:r w:rsidRPr="001B057C">
        <w:rPr>
          <w:rFonts w:ascii="Arial" w:hAnsi="Arial" w:cs="Arial"/>
          <w:lang w:val="de-DE"/>
        </w:rPr>
        <w:t xml:space="preserve">with orchestras such as Silesian Philharmonic, Bilkent Symphony, Belgrade Philharmonic, Danish National Symphony Orchestra and Choir, NOSPR, Banatul State Philharmonic, Romanian National Radio Symphony, Lahti Symphony Orchestra, as well as in venues such as Philharmonie Berlin and Conservatori Superior de Música de las Islas Baleares. </w:t>
      </w:r>
    </w:p>
    <w:p w14:paraId="6A1056E0" w14:textId="77777777" w:rsidR="001B057C" w:rsidRPr="001B057C" w:rsidRDefault="001B057C" w:rsidP="001B057C">
      <w:pPr>
        <w:rPr>
          <w:rFonts w:ascii="Arial" w:hAnsi="Arial" w:cs="Arial"/>
        </w:rPr>
      </w:pPr>
      <w:r w:rsidRPr="001B057C">
        <w:rPr>
          <w:rFonts w:ascii="Arial" w:hAnsi="Arial" w:cs="Arial"/>
        </w:rPr>
        <w:t xml:space="preserve">Recently, Christian has made distinguished performances with </w:t>
      </w:r>
      <w:r w:rsidRPr="001B057C">
        <w:rPr>
          <w:rFonts w:ascii="Arial" w:hAnsi="Arial" w:cs="Arial"/>
          <w:lang w:val="da-DK"/>
        </w:rPr>
        <w:t>Aarhus Symphony Orchestra, Orquesta Sinf</w:t>
      </w:r>
      <w:r w:rsidRPr="001B057C">
        <w:rPr>
          <w:rFonts w:ascii="Arial" w:hAnsi="Arial" w:cs="Arial"/>
          <w:lang w:val="es-ES_tradnl"/>
        </w:rPr>
        <w:t>ónica de Castilla y Leó</w:t>
      </w:r>
      <w:r w:rsidRPr="001B057C">
        <w:rPr>
          <w:rFonts w:ascii="Arial" w:hAnsi="Arial" w:cs="Arial"/>
          <w:lang w:val="nl-NL"/>
        </w:rPr>
        <w:t>n (his debut in Spain), Philharmonie Zuidnederland, Phion Orkest, Polska Filharmonia Ba</w:t>
      </w:r>
      <w:r w:rsidRPr="001B057C">
        <w:rPr>
          <w:rFonts w:ascii="Arial" w:hAnsi="Arial" w:cs="Arial"/>
        </w:rPr>
        <w:t>łtycka, and a much-anticipated return to Helsinki Philharmonic Orchestra.</w:t>
      </w:r>
    </w:p>
    <w:p w14:paraId="0FE1ADF0" w14:textId="77777777" w:rsidR="001B057C" w:rsidRPr="001B057C" w:rsidRDefault="001B057C" w:rsidP="001B057C">
      <w:pPr>
        <w:rPr>
          <w:rFonts w:ascii="Arial" w:hAnsi="Arial" w:cs="Arial"/>
        </w:rPr>
      </w:pPr>
      <w:r w:rsidRPr="001B057C">
        <w:rPr>
          <w:rFonts w:ascii="Arial" w:hAnsi="Arial" w:cs="Arial"/>
        </w:rPr>
        <w:t>Additionally, he has also made highly successful debuts in recent years with Deutsches Symphonie Orchester Berlin Bamberg</w:t>
      </w:r>
      <w:r w:rsidRPr="001B057C">
        <w:rPr>
          <w:rFonts w:ascii="Arial" w:hAnsi="Arial" w:cs="Arial"/>
          <w:lang w:val="de-DE"/>
        </w:rPr>
        <w:t>er Symphoniker, Stuttgart Philharmonic (Strauss’ </w:t>
      </w:r>
      <w:r w:rsidRPr="001B057C">
        <w:rPr>
          <w:rFonts w:ascii="Arial" w:hAnsi="Arial" w:cs="Arial"/>
          <w:i/>
          <w:iCs/>
          <w:lang w:val="de-DE"/>
        </w:rPr>
        <w:t>Alpine Symphony</w:t>
      </w:r>
      <w:r w:rsidRPr="001B057C">
        <w:rPr>
          <w:rFonts w:ascii="Arial" w:hAnsi="Arial" w:cs="Arial"/>
          <w:lang w:val="de-DE"/>
        </w:rPr>
        <w:t> with alpinist Reinhold Messner)</w:t>
      </w:r>
      <w:r w:rsidRPr="001B057C">
        <w:rPr>
          <w:rFonts w:ascii="Arial" w:hAnsi="Arial" w:cs="Arial"/>
          <w:lang w:val="pt-PT"/>
        </w:rPr>
        <w:t>, </w:t>
      </w:r>
      <w:r w:rsidRPr="001B057C">
        <w:rPr>
          <w:rFonts w:ascii="Arial" w:hAnsi="Arial" w:cs="Arial"/>
        </w:rPr>
        <w:t>Dresdner Philharmonie</w:t>
      </w:r>
      <w:r w:rsidRPr="001B057C">
        <w:rPr>
          <w:rFonts w:ascii="Arial" w:hAnsi="Arial" w:cs="Arial"/>
          <w:lang w:val="pt-PT"/>
        </w:rPr>
        <w:t>, </w:t>
      </w:r>
      <w:r w:rsidRPr="001B057C">
        <w:rPr>
          <w:rFonts w:ascii="Arial" w:hAnsi="Arial" w:cs="Arial"/>
          <w:lang w:val="de-DE"/>
        </w:rPr>
        <w:t>Orchestre Symphonique de Mulhouse, Musikkollegium Winterthur, Brussels Philharmonic, Warsaw Philharmonic and a </w:t>
      </w:r>
      <w:r w:rsidRPr="001B057C">
        <w:rPr>
          <w:rFonts w:ascii="Arial" w:hAnsi="Arial" w:cs="Arial"/>
        </w:rPr>
        <w:t>debut with Royal Swedish Opera, with legendary video games company, Dice. Other present successes include regular returns to Oslo Philharmonic, </w:t>
      </w:r>
      <w:r w:rsidRPr="001B057C">
        <w:rPr>
          <w:rFonts w:ascii="Arial" w:hAnsi="Arial" w:cs="Arial"/>
          <w:lang w:val="pt-PT"/>
        </w:rPr>
        <w:t>NDR Radiophilharmonie</w:t>
      </w:r>
      <w:r w:rsidRPr="001B057C">
        <w:rPr>
          <w:rFonts w:ascii="Arial" w:hAnsi="Arial" w:cs="Arial"/>
        </w:rPr>
        <w:t> and Danish National Symphony Orchestra</w:t>
      </w:r>
      <w:r w:rsidRPr="001B057C">
        <w:rPr>
          <w:rFonts w:ascii="Arial" w:hAnsi="Arial" w:cs="Arial"/>
          <w:lang w:val="de-DE"/>
        </w:rPr>
        <w:t>.</w:t>
      </w:r>
    </w:p>
    <w:p w14:paraId="5FDA8C81" w14:textId="77777777" w:rsidR="001B057C" w:rsidRPr="001B057C" w:rsidRDefault="001B057C" w:rsidP="001B057C">
      <w:pPr>
        <w:rPr>
          <w:rFonts w:ascii="Arial" w:hAnsi="Arial" w:cs="Arial"/>
        </w:rPr>
      </w:pPr>
      <w:r w:rsidRPr="001B057C">
        <w:rPr>
          <w:rFonts w:ascii="Arial" w:hAnsi="Arial" w:cs="Arial"/>
        </w:rPr>
        <w:t>Christian Schumann has appeared in several important opera productions across Europe. He </w:t>
      </w:r>
      <w:r w:rsidRPr="001B057C">
        <w:rPr>
          <w:rFonts w:ascii="Arial" w:hAnsi="Arial" w:cs="Arial"/>
          <w:lang w:val="de-DE"/>
        </w:rPr>
        <w:t>has conducted</w:t>
      </w:r>
      <w:r w:rsidRPr="001B057C">
        <w:rPr>
          <w:rFonts w:ascii="Arial" w:hAnsi="Arial" w:cs="Arial"/>
        </w:rPr>
        <w:t> </w:t>
      </w:r>
      <w:r w:rsidRPr="001B057C">
        <w:rPr>
          <w:rFonts w:ascii="Arial" w:hAnsi="Arial" w:cs="Arial"/>
          <w:lang w:val="de-DE"/>
        </w:rPr>
        <w:t>Peter E</w:t>
      </w:r>
      <w:r w:rsidRPr="001B057C">
        <w:rPr>
          <w:rFonts w:ascii="Arial" w:hAnsi="Arial" w:cs="Arial"/>
          <w:lang w:val="sv-SE"/>
        </w:rPr>
        <w:t>ö</w:t>
      </w:r>
      <w:r w:rsidRPr="001B057C">
        <w:rPr>
          <w:rFonts w:ascii="Arial" w:hAnsi="Arial" w:cs="Arial"/>
        </w:rPr>
        <w:t>tv</w:t>
      </w:r>
      <w:r w:rsidRPr="001B057C">
        <w:rPr>
          <w:rFonts w:ascii="Arial" w:hAnsi="Arial" w:cs="Arial"/>
          <w:lang w:val="sv-SE"/>
        </w:rPr>
        <w:t>ö</w:t>
      </w:r>
      <w:r w:rsidRPr="001B057C">
        <w:rPr>
          <w:rFonts w:ascii="Arial" w:hAnsi="Arial" w:cs="Arial"/>
        </w:rPr>
        <w:t>s’ </w:t>
      </w:r>
      <w:r w:rsidRPr="001B057C">
        <w:rPr>
          <w:rFonts w:ascii="Arial" w:hAnsi="Arial" w:cs="Arial"/>
          <w:lang w:val="de-DE"/>
        </w:rPr>
        <w:t>operas </w:t>
      </w:r>
      <w:r w:rsidRPr="001B057C">
        <w:rPr>
          <w:rFonts w:ascii="Arial" w:hAnsi="Arial" w:cs="Arial"/>
          <w:i/>
          <w:iCs/>
          <w:lang w:val="de-DE"/>
        </w:rPr>
        <w:t>Die Trag</w:t>
      </w:r>
      <w:r w:rsidRPr="001B057C">
        <w:rPr>
          <w:rFonts w:ascii="Arial" w:hAnsi="Arial" w:cs="Arial"/>
          <w:i/>
          <w:iCs/>
          <w:lang w:val="sv-SE"/>
        </w:rPr>
        <w:t>ö</w:t>
      </w:r>
      <w:r w:rsidRPr="001B057C">
        <w:rPr>
          <w:rFonts w:ascii="Arial" w:hAnsi="Arial" w:cs="Arial"/>
          <w:i/>
          <w:iCs/>
          <w:lang w:val="de-DE"/>
        </w:rPr>
        <w:t>die des Teufels</w:t>
      </w:r>
      <w:r w:rsidRPr="001B057C">
        <w:rPr>
          <w:rFonts w:ascii="Arial" w:hAnsi="Arial" w:cs="Arial"/>
          <w:lang w:val="de-DE"/>
        </w:rPr>
        <w:t> and </w:t>
      </w:r>
      <w:r w:rsidRPr="001B057C">
        <w:rPr>
          <w:rFonts w:ascii="Arial" w:hAnsi="Arial" w:cs="Arial"/>
          <w:i/>
          <w:iCs/>
          <w:lang w:val="de-DE"/>
        </w:rPr>
        <w:t>Lady Sarashina</w:t>
      </w:r>
      <w:r w:rsidRPr="001B057C">
        <w:rPr>
          <w:rFonts w:ascii="Arial" w:hAnsi="Arial" w:cs="Arial"/>
          <w:lang w:val="de-DE"/>
        </w:rPr>
        <w:t> at Bayerische Staatsoper and Teatr Wielki in Warsaw respectively, Mozart’s </w:t>
      </w:r>
      <w:r w:rsidRPr="001B057C">
        <w:rPr>
          <w:rFonts w:ascii="Arial" w:hAnsi="Arial" w:cs="Arial"/>
          <w:i/>
          <w:iCs/>
          <w:lang w:val="de-DE"/>
        </w:rPr>
        <w:t>Magic Flute</w:t>
      </w:r>
      <w:r w:rsidRPr="001B057C">
        <w:rPr>
          <w:rFonts w:ascii="Arial" w:hAnsi="Arial" w:cs="Arial"/>
          <w:lang w:val="de-DE"/>
        </w:rPr>
        <w:t> at Opera Würzburg and </w:t>
      </w:r>
      <w:r w:rsidRPr="001B057C">
        <w:rPr>
          <w:rFonts w:ascii="Arial" w:hAnsi="Arial" w:cs="Arial"/>
        </w:rPr>
        <w:t>the Berlin premiere</w:t>
      </w:r>
      <w:r w:rsidRPr="001B057C">
        <w:rPr>
          <w:rFonts w:ascii="Arial" w:hAnsi="Arial" w:cs="Arial"/>
          <w:lang w:val="de-DE"/>
        </w:rPr>
        <w:t>s</w:t>
      </w:r>
      <w:r w:rsidRPr="001B057C">
        <w:rPr>
          <w:rFonts w:ascii="Arial" w:hAnsi="Arial" w:cs="Arial"/>
        </w:rPr>
        <w:t> of Peter E</w:t>
      </w:r>
      <w:r w:rsidRPr="001B057C">
        <w:rPr>
          <w:rFonts w:ascii="Arial" w:hAnsi="Arial" w:cs="Arial"/>
          <w:lang w:val="sv-SE"/>
        </w:rPr>
        <w:t>ö</w:t>
      </w:r>
      <w:r w:rsidRPr="001B057C">
        <w:rPr>
          <w:rFonts w:ascii="Arial" w:hAnsi="Arial" w:cs="Arial"/>
        </w:rPr>
        <w:t>tv</w:t>
      </w:r>
      <w:r w:rsidRPr="001B057C">
        <w:rPr>
          <w:rFonts w:ascii="Arial" w:hAnsi="Arial" w:cs="Arial"/>
          <w:lang w:val="sv-SE"/>
        </w:rPr>
        <w:t>ö</w:t>
      </w:r>
      <w:r w:rsidRPr="001B057C">
        <w:rPr>
          <w:rFonts w:ascii="Arial" w:hAnsi="Arial" w:cs="Arial"/>
        </w:rPr>
        <w:t>s​’s opera </w:t>
      </w:r>
      <w:r w:rsidRPr="001B057C">
        <w:rPr>
          <w:rFonts w:ascii="Arial" w:hAnsi="Arial" w:cs="Arial"/>
          <w:i/>
          <w:iCs/>
        </w:rPr>
        <w:t>Angels in America</w:t>
      </w:r>
      <w:r w:rsidRPr="001B057C">
        <w:rPr>
          <w:rFonts w:ascii="Arial" w:hAnsi="Arial" w:cs="Arial"/>
        </w:rPr>
        <w:t>, excelling also in a critically acclaimed new production of Peter E</w:t>
      </w:r>
      <w:r w:rsidRPr="001B057C">
        <w:rPr>
          <w:rFonts w:ascii="Arial" w:hAnsi="Arial" w:cs="Arial"/>
          <w:lang w:val="sv-SE"/>
        </w:rPr>
        <w:t>ö</w:t>
      </w:r>
      <w:r w:rsidRPr="001B057C">
        <w:rPr>
          <w:rFonts w:ascii="Arial" w:hAnsi="Arial" w:cs="Arial"/>
        </w:rPr>
        <w:t>tv</w:t>
      </w:r>
      <w:r w:rsidRPr="001B057C">
        <w:rPr>
          <w:rFonts w:ascii="Arial" w:hAnsi="Arial" w:cs="Arial"/>
          <w:lang w:val="sv-SE"/>
        </w:rPr>
        <w:t>ö</w:t>
      </w:r>
      <w:r w:rsidRPr="001B057C">
        <w:rPr>
          <w:rFonts w:ascii="Arial" w:hAnsi="Arial" w:cs="Arial"/>
        </w:rPr>
        <w:t>s’ </w:t>
      </w:r>
      <w:r w:rsidRPr="001B057C">
        <w:rPr>
          <w:rFonts w:ascii="Arial" w:hAnsi="Arial" w:cs="Arial"/>
          <w:i/>
          <w:iCs/>
        </w:rPr>
        <w:t>Three Sisters</w:t>
      </w:r>
      <w:r w:rsidRPr="001B057C">
        <w:rPr>
          <w:rFonts w:ascii="Arial" w:hAnsi="Arial" w:cs="Arial"/>
        </w:rPr>
        <w:t> at Teatro Col</w:t>
      </w:r>
      <w:r w:rsidRPr="001B057C">
        <w:rPr>
          <w:rFonts w:ascii="Arial" w:hAnsi="Arial" w:cs="Arial"/>
          <w:lang w:val="es-ES_tradnl"/>
        </w:rPr>
        <w:t>ó</w:t>
      </w:r>
      <w:r w:rsidRPr="001B057C">
        <w:rPr>
          <w:rFonts w:ascii="Arial" w:hAnsi="Arial" w:cs="Arial"/>
        </w:rPr>
        <w:t>n. At Grand Theatre Avignon, he conducted a double-bill featuring Bart</w:t>
      </w:r>
      <w:r w:rsidRPr="001B057C">
        <w:rPr>
          <w:rFonts w:ascii="Arial" w:hAnsi="Arial" w:cs="Arial"/>
          <w:lang w:val="es-ES_tradnl"/>
        </w:rPr>
        <w:t>ó</w:t>
      </w:r>
      <w:r w:rsidRPr="001B057C">
        <w:rPr>
          <w:rFonts w:ascii="Arial" w:hAnsi="Arial" w:cs="Arial"/>
        </w:rPr>
        <w:t>k’s </w:t>
      </w:r>
      <w:r w:rsidRPr="001B057C">
        <w:rPr>
          <w:rFonts w:ascii="Arial" w:hAnsi="Arial" w:cs="Arial"/>
          <w:i/>
          <w:iCs/>
        </w:rPr>
        <w:t>Bluebeard´s Castle</w:t>
      </w:r>
      <w:r w:rsidRPr="001B057C">
        <w:rPr>
          <w:rFonts w:ascii="Arial" w:hAnsi="Arial" w:cs="Arial"/>
        </w:rPr>
        <w:t> and E</w:t>
      </w:r>
      <w:r w:rsidRPr="001B057C">
        <w:rPr>
          <w:rFonts w:ascii="Arial" w:hAnsi="Arial" w:cs="Arial"/>
          <w:lang w:val="sv-SE"/>
        </w:rPr>
        <w:t>ö</w:t>
      </w:r>
      <w:r w:rsidRPr="001B057C">
        <w:rPr>
          <w:rFonts w:ascii="Arial" w:hAnsi="Arial" w:cs="Arial"/>
        </w:rPr>
        <w:t>tv</w:t>
      </w:r>
      <w:r w:rsidRPr="001B057C">
        <w:rPr>
          <w:rFonts w:ascii="Arial" w:hAnsi="Arial" w:cs="Arial"/>
          <w:lang w:val="sv-SE"/>
        </w:rPr>
        <w:t>ö</w:t>
      </w:r>
      <w:r w:rsidRPr="001B057C">
        <w:rPr>
          <w:rFonts w:ascii="Arial" w:hAnsi="Arial" w:cs="Arial"/>
        </w:rPr>
        <w:t>s’ </w:t>
      </w:r>
      <w:r w:rsidRPr="001B057C">
        <w:rPr>
          <w:rFonts w:ascii="Arial" w:hAnsi="Arial" w:cs="Arial"/>
          <w:i/>
          <w:iCs/>
          <w:lang w:val="it-IT"/>
        </w:rPr>
        <w:t>Senza Sangue</w:t>
      </w:r>
      <w:r w:rsidRPr="001B057C">
        <w:rPr>
          <w:rFonts w:ascii="Arial" w:hAnsi="Arial" w:cs="Arial"/>
          <w:lang w:val="it-IT"/>
        </w:rPr>
        <w:t>,</w:t>
      </w:r>
      <w:r w:rsidRPr="001B057C">
        <w:rPr>
          <w:rFonts w:ascii="Arial" w:hAnsi="Arial" w:cs="Arial"/>
        </w:rPr>
        <w:t> previously enjoying a long-term relationship with the Theater St. Gallen, where he held the Kapellmeister position between 2006 – 2009. </w:t>
      </w:r>
    </w:p>
    <w:p w14:paraId="5E4D132B" w14:textId="77777777" w:rsidR="001B057C" w:rsidRPr="001B057C" w:rsidRDefault="001B057C" w:rsidP="001B057C">
      <w:pPr>
        <w:rPr>
          <w:rFonts w:ascii="Arial" w:hAnsi="Arial" w:cs="Arial"/>
        </w:rPr>
      </w:pPr>
      <w:r w:rsidRPr="001B057C">
        <w:rPr>
          <w:rFonts w:ascii="Arial" w:hAnsi="Arial" w:cs="Arial"/>
        </w:rPr>
        <w:t>Schumann’s special affinity for film music has led him to conduct major projects often to arena audiences, such as at the Krakow Film Music Festival (</w:t>
      </w:r>
      <w:r w:rsidRPr="001B057C">
        <w:rPr>
          <w:rFonts w:ascii="Arial" w:hAnsi="Arial" w:cs="Arial"/>
          <w:i/>
          <w:iCs/>
          <w:lang w:val="de-DE"/>
        </w:rPr>
        <w:t>Kon Tiki </w:t>
      </w:r>
      <w:r w:rsidRPr="001B057C">
        <w:rPr>
          <w:rFonts w:ascii="Arial" w:hAnsi="Arial" w:cs="Arial"/>
          <w:lang w:val="de-DE"/>
        </w:rPr>
        <w:t>/</w:t>
      </w:r>
      <w:r w:rsidRPr="001B057C">
        <w:rPr>
          <w:rFonts w:ascii="Arial" w:hAnsi="Arial" w:cs="Arial"/>
          <w:i/>
          <w:iCs/>
          <w:lang w:val="de-DE"/>
        </w:rPr>
        <w:t> </w:t>
      </w:r>
      <w:r w:rsidRPr="001B057C">
        <w:rPr>
          <w:rFonts w:ascii="Arial" w:hAnsi="Arial" w:cs="Arial"/>
          <w:i/>
          <w:iCs/>
        </w:rPr>
        <w:t>Neverending Story</w:t>
      </w:r>
      <w:r w:rsidRPr="001B057C">
        <w:rPr>
          <w:rFonts w:ascii="Arial" w:hAnsi="Arial" w:cs="Arial"/>
        </w:rPr>
        <w:t>) as well as four open concerts with Het Gelders Orkest in the Netherlands, and four major recent major tours across Germany</w:t>
      </w:r>
      <w:r w:rsidRPr="001B057C">
        <w:rPr>
          <w:rFonts w:ascii="Arial" w:hAnsi="Arial" w:cs="Arial"/>
          <w:lang w:val="de-DE"/>
        </w:rPr>
        <w:t>, Austria and Switzerland</w:t>
      </w:r>
      <w:r w:rsidRPr="001B057C">
        <w:rPr>
          <w:rFonts w:ascii="Arial" w:hAnsi="Arial" w:cs="Arial"/>
        </w:rPr>
        <w:t> featuring such classics as </w:t>
      </w:r>
      <w:r w:rsidRPr="001B057C">
        <w:rPr>
          <w:rFonts w:ascii="Arial" w:hAnsi="Arial" w:cs="Arial"/>
          <w:i/>
          <w:iCs/>
        </w:rPr>
        <w:t>Star Wars, The Dark Knight, Harry Potter, James Bond, The Jungle Book</w:t>
      </w:r>
      <w:r w:rsidRPr="001B057C">
        <w:rPr>
          <w:rFonts w:ascii="Arial" w:hAnsi="Arial" w:cs="Arial"/>
        </w:rPr>
        <w:t> and </w:t>
      </w:r>
      <w:r w:rsidRPr="001B057C">
        <w:rPr>
          <w:rFonts w:ascii="Arial" w:hAnsi="Arial" w:cs="Arial"/>
          <w:i/>
          <w:iCs/>
        </w:rPr>
        <w:t>Ratatouille</w:t>
      </w:r>
      <w:r w:rsidRPr="001B057C">
        <w:rPr>
          <w:rFonts w:ascii="Arial" w:hAnsi="Arial" w:cs="Arial"/>
        </w:rPr>
        <w:t>. In 2022, Schumann returned to Aarhus Symphony Orchestra performing the paradigmatic </w:t>
      </w:r>
      <w:r w:rsidRPr="001B057C">
        <w:rPr>
          <w:rFonts w:ascii="Arial" w:hAnsi="Arial" w:cs="Arial"/>
          <w:i/>
          <w:iCs/>
        </w:rPr>
        <w:t>Star Wars VI</w:t>
      </w:r>
      <w:r w:rsidRPr="001B057C">
        <w:rPr>
          <w:rFonts w:ascii="Arial" w:hAnsi="Arial" w:cs="Arial"/>
        </w:rPr>
        <w:t>.</w:t>
      </w:r>
    </w:p>
    <w:p w14:paraId="44F1841C" w14:textId="2E1638F8" w:rsidR="0096376C" w:rsidRDefault="00160B8B">
      <w:pPr>
        <w:jc w:val="both"/>
      </w:pPr>
      <w:r>
        <w:rPr>
          <w:rFonts w:ascii="Calibri" w:eastAsia="Calibri" w:hAnsi="Calibri" w:cs="Calibri"/>
          <w:color w:val="333333"/>
          <w:sz w:val="24"/>
          <w:szCs w:val="24"/>
          <w:u w:color="333333"/>
          <w:shd w:val="clear" w:color="auto" w:fill="FFFFFF"/>
        </w:rPr>
        <w:t xml:space="preserve"> </w:t>
      </w:r>
    </w:p>
    <w:sectPr w:rsidR="0096376C">
      <w:footerReference w:type="default" r:id="rId11"/>
      <w:pgSz w:w="1190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42304" w14:textId="77777777" w:rsidR="00F00E0D" w:rsidRDefault="00F00E0D">
      <w:pPr>
        <w:spacing w:after="0" w:line="240" w:lineRule="auto"/>
      </w:pPr>
      <w:r>
        <w:separator/>
      </w:r>
    </w:p>
  </w:endnote>
  <w:endnote w:type="continuationSeparator" w:id="0">
    <w:p w14:paraId="66E94252" w14:textId="77777777" w:rsidR="00F00E0D" w:rsidRDefault="00F00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378D" w14:textId="7355FD73" w:rsidR="0096376C" w:rsidRPr="009B65EE" w:rsidRDefault="00160B8B" w:rsidP="009B65EE">
    <w:pPr>
      <w:ind w:right="26"/>
      <w:jc w:val="center"/>
      <w:rPr>
        <w:rFonts w:ascii="Arial" w:hAnsi="Arial"/>
      </w:rPr>
    </w:pPr>
    <w:r>
      <w:rPr>
        <w:rFonts w:ascii="Arial" w:hAnsi="Arial"/>
        <w:lang w:val="de-DE"/>
      </w:rPr>
      <w:t>202</w:t>
    </w:r>
    <w:r w:rsidR="0057318C">
      <w:rPr>
        <w:rFonts w:ascii="Arial" w:hAnsi="Arial"/>
        <w:lang w:val="de-DE"/>
      </w:rPr>
      <w:t>4</w:t>
    </w:r>
    <w:r>
      <w:rPr>
        <w:rFonts w:ascii="Arial" w:hAnsi="Arial"/>
        <w:lang w:val="de-DE"/>
      </w:rPr>
      <w:t>/2</w:t>
    </w:r>
    <w:r w:rsidR="0057318C">
      <w:rPr>
        <w:rFonts w:ascii="Arial" w:hAnsi="Arial"/>
        <w:lang w:val="de-DE"/>
      </w:rPr>
      <w:t>5</w:t>
    </w:r>
    <w:r>
      <w:rPr>
        <w:rFonts w:ascii="Arial" w:hAnsi="Arial"/>
        <w:lang w:val="de-DE"/>
      </w:rPr>
      <w:t xml:space="preserve"> </w:t>
    </w:r>
    <w:r>
      <w:rPr>
        <w:rFonts w:ascii="Arial" w:hAnsi="Arial"/>
      </w:rPr>
      <w:t>season only. Please contact Polyarts if you wish to edit this biography.</w:t>
    </w:r>
    <w:r w:rsidR="009B65EE">
      <w:rPr>
        <w:rFonts w:ascii="Arial" w:hAnsi="Arial"/>
      </w:rPr>
      <w:t xml:space="preserve"> </w:t>
    </w:r>
    <w:r w:rsidR="009B65EE">
      <w:rPr>
        <w:rFonts w:ascii="Arial" w:hAnsi="Arial"/>
      </w:rPr>
      <w:br/>
      <w:t>Polyarts, a HarrisonParrott Group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7DC4" w14:textId="77777777" w:rsidR="00F00E0D" w:rsidRDefault="00F00E0D">
      <w:pPr>
        <w:spacing w:after="0" w:line="240" w:lineRule="auto"/>
      </w:pPr>
      <w:r>
        <w:separator/>
      </w:r>
    </w:p>
  </w:footnote>
  <w:footnote w:type="continuationSeparator" w:id="0">
    <w:p w14:paraId="1C58B72D" w14:textId="77777777" w:rsidR="00F00E0D" w:rsidRDefault="00F00E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76C"/>
    <w:rsid w:val="000863C8"/>
    <w:rsid w:val="00160B8B"/>
    <w:rsid w:val="001835FD"/>
    <w:rsid w:val="001B057C"/>
    <w:rsid w:val="0023350F"/>
    <w:rsid w:val="002926CE"/>
    <w:rsid w:val="003934CF"/>
    <w:rsid w:val="0057318C"/>
    <w:rsid w:val="007648B5"/>
    <w:rsid w:val="0096376C"/>
    <w:rsid w:val="009B65EE"/>
    <w:rsid w:val="00F00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C93AE9"/>
  <w15:docId w15:val="{6ED7CF14-8EAE-004F-9233-0D73AB2C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cs="Arial Unicode MS"/>
      <w:color w:val="000000"/>
      <w:u w:color="000000"/>
      <w:lang w:val="en-US"/>
    </w:rPr>
  </w:style>
  <w:style w:type="paragraph" w:styleId="Heading1">
    <w:name w:val="heading 1"/>
    <w:next w:val="Normal"/>
    <w:uiPriority w:val="9"/>
    <w:qFormat/>
    <w:pPr>
      <w:keepNext/>
      <w:tabs>
        <w:tab w:val="left" w:pos="432"/>
      </w:tabs>
      <w:suppressAutoHyphens/>
      <w:spacing w:before="240" w:after="60" w:line="276" w:lineRule="auto"/>
      <w:ind w:left="432" w:hanging="432"/>
      <w:outlineLvl w:val="0"/>
    </w:pPr>
    <w:rPr>
      <w:rFonts w:ascii="Calibri Light" w:eastAsia="Calibri Light" w:hAnsi="Calibri Light" w:cs="Calibri Light"/>
      <w:b/>
      <w:bCs/>
      <w:color w:val="000000"/>
      <w:kern w:val="1"/>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Header">
    <w:name w:val="header"/>
    <w:basedOn w:val="Normal"/>
    <w:link w:val="HeaderChar"/>
    <w:uiPriority w:val="99"/>
    <w:unhideWhenUsed/>
    <w:rsid w:val="00183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5FD"/>
    <w:rPr>
      <w:rFonts w:cs="Arial Unicode MS"/>
      <w:color w:val="000000"/>
      <w:u w:color="000000"/>
      <w:lang w:val="en-US"/>
    </w:rPr>
  </w:style>
  <w:style w:type="paragraph" w:styleId="Footer">
    <w:name w:val="footer"/>
    <w:basedOn w:val="Normal"/>
    <w:link w:val="FooterChar"/>
    <w:uiPriority w:val="99"/>
    <w:unhideWhenUsed/>
    <w:rsid w:val="00183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5FD"/>
    <w:rPr>
      <w:rFonts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09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880C0-BFAB-4B2D-882C-AC04521AC4EA}">
  <ds:schemaRefs>
    <ds:schemaRef ds:uri="http://schemas.microsoft.com/sharepoint/v3/contenttype/forms"/>
  </ds:schemaRefs>
</ds:datastoreItem>
</file>

<file path=customXml/itemProps2.xml><?xml version="1.0" encoding="utf-8"?>
<ds:datastoreItem xmlns:ds="http://schemas.openxmlformats.org/officeDocument/2006/customXml" ds:itemID="{ABC4EEB5-74F4-4970-8A6A-198C509B27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74AF31-6DCA-4009-8032-B2A8DAB21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5</cp:revision>
  <dcterms:created xsi:type="dcterms:W3CDTF">2023-06-01T10:32:00Z</dcterms:created>
  <dcterms:modified xsi:type="dcterms:W3CDTF">2025-03-07T15:08:00Z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